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rPr>
          <w:rFonts w:ascii="Roboto" w:cs="Roboto" w:eastAsia="Roboto" w:hAnsi="Roboto"/>
          <w:color w:val="283c4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rFonts w:ascii="Open Sans" w:cs="Open Sans" w:eastAsia="Open Sans" w:hAnsi="Open Sans"/>
        <w:sz w:val="15"/>
        <w:szCs w:val="15"/>
        <w:rtl w:val="0"/>
      </w:rPr>
      <w:t xml:space="preserve">2000 Walker Ave. NW Grand Rapids, MI 49504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4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Fonts w:ascii="Open Sans" w:cs="Open Sans" w:eastAsia="Open Sans" w:hAnsi="Open Sans"/>
        <w:color w:val="000000"/>
        <w:sz w:val="15"/>
        <w:szCs w:val="15"/>
        <w:rtl w:val="0"/>
      </w:rPr>
      <w:t xml:space="preserve">www.grcathcem.org</w:t>
    </w:r>
  </w:p>
  <w:p w:rsidR="00000000" w:rsidDel="00000000" w:rsidP="00000000" w:rsidRDefault="00000000" w:rsidRPr="00000000" w14:paraId="00000005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Fonts w:ascii="Open Sans" w:cs="Open Sans" w:eastAsia="Open Sans" w:hAnsi="Open Sans"/>
        <w:color w:val="000000"/>
        <w:sz w:val="15"/>
        <w:szCs w:val="15"/>
        <w:rtl w:val="0"/>
      </w:rPr>
      <w:t xml:space="preserve">616.453.1636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834640" cy="64922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34640" cy="64922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